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FC" w:rsidRDefault="00A40191">
      <w:pPr>
        <w:tabs>
          <w:tab w:val="left" w:pos="-90"/>
          <w:tab w:val="left" w:pos="2070"/>
          <w:tab w:val="left" w:pos="3870"/>
          <w:tab w:val="left" w:pos="5670"/>
          <w:tab w:val="left" w:pos="7830"/>
          <w:tab w:val="left" w:pos="8550"/>
          <w:tab w:val="left" w:pos="9270"/>
        </w:tabs>
        <w:ind w:left="2" w:hanging="4"/>
        <w:jc w:val="center"/>
        <w:rPr>
          <w:rFonts w:ascii="Times New Roman" w:eastAsia="Times New Roman" w:hAnsi="Times New Roman" w:cs="Times New Roman"/>
          <w:sz w:val="36"/>
          <w:szCs w:val="36"/>
        </w:rPr>
      </w:pPr>
      <w:bookmarkStart w:id="0" w:name="_GoBack"/>
      <w:bookmarkEnd w:id="0"/>
      <w:r>
        <w:rPr>
          <w:rFonts w:ascii="Times New Roman" w:eastAsia="Times New Roman" w:hAnsi="Times New Roman" w:cs="Times New Roman"/>
          <w:b/>
          <w:i/>
          <w:noProof/>
          <w:sz w:val="36"/>
          <w:szCs w:val="36"/>
        </w:rPr>
        <w:drawing>
          <wp:inline distT="0" distB="0" distL="114300" distR="114300">
            <wp:extent cx="1117600" cy="10795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7600" cy="1079500"/>
                    </a:xfrm>
                    <a:prstGeom prst="rect">
                      <a:avLst/>
                    </a:prstGeom>
                    <a:ln/>
                  </pic:spPr>
                </pic:pic>
              </a:graphicData>
            </a:graphic>
          </wp:inline>
        </w:drawing>
      </w:r>
    </w:p>
    <w:p w:rsidR="002179FC" w:rsidRDefault="002179FC">
      <w:pPr>
        <w:keepNext/>
        <w:pBdr>
          <w:top w:val="nil"/>
          <w:left w:val="nil"/>
          <w:bottom w:val="nil"/>
          <w:right w:val="nil"/>
          <w:between w:val="nil"/>
        </w:pBdr>
        <w:tabs>
          <w:tab w:val="left" w:pos="-90"/>
          <w:tab w:val="left" w:pos="2070"/>
          <w:tab w:val="left" w:pos="3870"/>
          <w:tab w:val="left" w:pos="5670"/>
          <w:tab w:val="left" w:pos="7830"/>
          <w:tab w:val="left" w:pos="8550"/>
          <w:tab w:val="left" w:pos="9270"/>
        </w:tabs>
        <w:spacing w:line="240" w:lineRule="auto"/>
        <w:ind w:left="2" w:hanging="4"/>
        <w:jc w:val="center"/>
        <w:rPr>
          <w:rFonts w:ascii="Times New Roman" w:eastAsia="Times New Roman" w:hAnsi="Times New Roman" w:cs="Times New Roman"/>
          <w:b/>
          <w:i/>
          <w:color w:val="000000"/>
          <w:sz w:val="36"/>
          <w:szCs w:val="36"/>
        </w:rPr>
      </w:pPr>
    </w:p>
    <w:p w:rsidR="002179FC" w:rsidRDefault="00A40191">
      <w:pPr>
        <w:keepNext/>
        <w:pBdr>
          <w:top w:val="nil"/>
          <w:left w:val="nil"/>
          <w:bottom w:val="nil"/>
          <w:right w:val="nil"/>
          <w:between w:val="nil"/>
        </w:pBdr>
        <w:tabs>
          <w:tab w:val="left" w:pos="-90"/>
          <w:tab w:val="left" w:pos="2070"/>
          <w:tab w:val="left" w:pos="3870"/>
          <w:tab w:val="left" w:pos="5670"/>
          <w:tab w:val="left" w:pos="7830"/>
          <w:tab w:val="left" w:pos="8550"/>
          <w:tab w:val="left" w:pos="9270"/>
        </w:tabs>
        <w:spacing w:line="240" w:lineRule="auto"/>
        <w:ind w:left="2" w:hanging="4"/>
        <w:jc w:val="center"/>
        <w:rPr>
          <w:rFonts w:ascii="Times New Roman" w:eastAsia="Times New Roman" w:hAnsi="Times New Roman" w:cs="Times New Roman"/>
          <w:b/>
          <w:i/>
          <w:color w:val="000000"/>
          <w:sz w:val="36"/>
          <w:szCs w:val="36"/>
        </w:rPr>
      </w:pPr>
      <w:r>
        <w:rPr>
          <w:rFonts w:ascii="Times New Roman" w:eastAsia="Times New Roman" w:hAnsi="Times New Roman" w:cs="Times New Roman"/>
          <w:b/>
          <w:i/>
          <w:color w:val="000000"/>
          <w:sz w:val="36"/>
          <w:szCs w:val="36"/>
        </w:rPr>
        <w:t>The Water We Drink</w:t>
      </w:r>
    </w:p>
    <w:p w:rsidR="002179FC" w:rsidRDefault="00A40191">
      <w:pPr>
        <w:keepNext/>
        <w:pBdr>
          <w:top w:val="nil"/>
          <w:left w:val="nil"/>
          <w:bottom w:val="nil"/>
          <w:right w:val="nil"/>
          <w:between w:val="nil"/>
        </w:pBdr>
        <w:tabs>
          <w:tab w:val="left" w:pos="-90"/>
          <w:tab w:val="left" w:pos="2070"/>
          <w:tab w:val="left" w:pos="3870"/>
          <w:tab w:val="left" w:pos="5670"/>
          <w:tab w:val="left" w:pos="7830"/>
          <w:tab w:val="left" w:pos="8550"/>
          <w:tab w:val="left" w:pos="9270"/>
        </w:tabs>
        <w:spacing w:line="240" w:lineRule="auto"/>
        <w:ind w:left="1"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Hyrum City 2018</w:t>
      </w:r>
    </w:p>
    <w:p w:rsidR="002179FC" w:rsidRDefault="00A40191">
      <w:pPr>
        <w:keepNext/>
        <w:keepLines/>
        <w:tabs>
          <w:tab w:val="left" w:pos="0"/>
          <w:tab w:val="left" w:pos="720"/>
          <w:tab w:val="left" w:pos="3870"/>
          <w:tab w:val="left" w:pos="5670"/>
          <w:tab w:val="left" w:pos="7830"/>
          <w:tab w:val="left" w:pos="8550"/>
          <w:tab w:val="left" w:pos="8640"/>
          <w:tab w:val="left" w:pos="9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We’re very pleased to provide you with this year's Annual Water Quality Report. We want to keep you informed about the excellent water and services we have delivered to you over the past year. Our goal is and always has been, to provide to you a safe and d</w:t>
      </w:r>
      <w:r>
        <w:rPr>
          <w:rFonts w:ascii="Times New Roman" w:eastAsia="Times New Roman" w:hAnsi="Times New Roman" w:cs="Times New Roman"/>
          <w:sz w:val="24"/>
          <w:szCs w:val="24"/>
        </w:rPr>
        <w:t>ependable supply of drinking water. Our water sources are Ground Water Sources.</w:t>
      </w:r>
    </w:p>
    <w:p w:rsidR="002179FC" w:rsidRDefault="00A40191">
      <w:pPr>
        <w:keepNext/>
        <w:keepLines/>
        <w:tabs>
          <w:tab w:val="left" w:pos="0"/>
          <w:tab w:val="left" w:pos="720"/>
          <w:tab w:val="left" w:pos="3870"/>
          <w:tab w:val="left" w:pos="5670"/>
          <w:tab w:val="left" w:pos="7830"/>
          <w:tab w:val="left" w:pos="8550"/>
          <w:tab w:val="left" w:pos="8640"/>
          <w:tab w:val="left" w:pos="9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Hyrum City has a Drinking Water Source Protection Plan that is available for review.  It provides more information such as potential sources of contamination and our source pr</w:t>
      </w:r>
      <w:r>
        <w:rPr>
          <w:rFonts w:ascii="Times New Roman" w:eastAsia="Times New Roman" w:hAnsi="Times New Roman" w:cs="Times New Roman"/>
          <w:color w:val="000000"/>
          <w:sz w:val="24"/>
          <w:szCs w:val="24"/>
        </w:rPr>
        <w:t>otection areas.  It has been determined we have a low susceptible level to potential sources of contamination, such as</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such as septic tanks, roads, homes, gas stations, etc.  If you have any questions regarding source protection, contact the office to review our source protection plan.</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Our source is in a remote location, and there are no potential contamination sources in </w:t>
      </w:r>
      <w:r>
        <w:rPr>
          <w:rFonts w:ascii="Times New Roman" w:eastAsia="Times New Roman" w:hAnsi="Times New Roman" w:cs="Times New Roman"/>
          <w:color w:val="000000"/>
          <w:sz w:val="24"/>
          <w:szCs w:val="24"/>
        </w:rPr>
        <w:t>the protection</w:t>
      </w:r>
      <w:r>
        <w:rPr>
          <w:rFonts w:ascii="Times New Roman" w:eastAsia="Times New Roman" w:hAnsi="Times New Roman" w:cs="Times New Roman"/>
          <w:sz w:val="24"/>
          <w:szCs w:val="24"/>
        </w:rPr>
        <w:t xml:space="preserve"> zones, so we consider our source to have a low susceptibility to potential contamination events.</w:t>
      </w:r>
    </w:p>
    <w:p w:rsidR="002179FC" w:rsidRDefault="00A40191">
      <w:pPr>
        <w:keepNext/>
        <w:keepLines/>
        <w:tabs>
          <w:tab w:val="left" w:pos="0"/>
          <w:tab w:val="left" w:pos="720"/>
          <w:tab w:val="left" w:pos="3870"/>
          <w:tab w:val="left" w:pos="5670"/>
          <w:tab w:val="left" w:pos="7830"/>
          <w:tab w:val="left" w:pos="8550"/>
          <w:tab w:val="left" w:pos="8640"/>
          <w:tab w:val="left" w:pos="9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If you have any questions about this report or concerning your water utility, please contact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Corey W. Nielsen or Martell Lowe at 435-245-6033.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We want our valued customers to be informed about their water utility. If you want to learn more, please attend any of our regularly scheduled meetings. They are held 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6"/>
          <w:szCs w:val="16"/>
          <w:vertAlign w:val="superscript"/>
        </w:rPr>
        <w:t>st</w:t>
      </w:r>
      <w:r>
        <w:rPr>
          <w:rFonts w:ascii="Times New Roman" w:eastAsia="Times New Roman" w:hAnsi="Times New Roman" w:cs="Times New Roman"/>
          <w:color w:val="000000"/>
          <w:sz w:val="24"/>
          <w:szCs w:val="24"/>
        </w:rPr>
        <w:t xml:space="preserve"> and 3</w:t>
      </w:r>
      <w:r>
        <w:rPr>
          <w:rFonts w:ascii="Times New Roman" w:eastAsia="Times New Roman" w:hAnsi="Times New Roman" w:cs="Times New Roman"/>
          <w:color w:val="000000"/>
          <w:sz w:val="16"/>
          <w:szCs w:val="16"/>
        </w:rPr>
        <w:t xml:space="preserve"> rd </w:t>
      </w:r>
      <w:r>
        <w:rPr>
          <w:rFonts w:ascii="Times New Roman" w:eastAsia="Times New Roman" w:hAnsi="Times New Roman" w:cs="Times New Roman"/>
          <w:color w:val="000000"/>
          <w:sz w:val="24"/>
          <w:szCs w:val="24"/>
        </w:rPr>
        <w:t>Thursday of each month at 6:30 p.m. at the City Hall.</w:t>
      </w:r>
    </w:p>
    <w:p w:rsidR="002179FC" w:rsidRDefault="00A40191">
      <w:pPr>
        <w:keepNext/>
        <w:keepLines/>
        <w:tabs>
          <w:tab w:val="left" w:pos="0"/>
          <w:tab w:val="left" w:pos="720"/>
          <w:tab w:val="left" w:pos="3870"/>
          <w:tab w:val="left" w:pos="5670"/>
          <w:tab w:val="left" w:pos="7830"/>
          <w:tab w:val="left" w:pos="8550"/>
          <w:tab w:val="left" w:pos="8640"/>
          <w:tab w:val="left" w:pos="9360"/>
        </w:tabs>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Hyrum City</w:t>
      </w:r>
      <w:r>
        <w:rPr>
          <w:rFonts w:ascii="Times New Roman" w:eastAsia="Times New Roman" w:hAnsi="Times New Roman" w:cs="Times New Roman"/>
          <w:b/>
          <w:color w:val="008080"/>
          <w:sz w:val="24"/>
          <w:szCs w:val="24"/>
        </w:rPr>
        <w:t xml:space="preserve"> </w:t>
      </w:r>
      <w:r>
        <w:rPr>
          <w:rFonts w:ascii="Times New Roman" w:eastAsia="Times New Roman" w:hAnsi="Times New Roman" w:cs="Times New Roman"/>
          <w:sz w:val="24"/>
          <w:szCs w:val="24"/>
        </w:rPr>
        <w:t>routine</w:t>
      </w:r>
      <w:r>
        <w:rPr>
          <w:rFonts w:ascii="Times New Roman" w:eastAsia="Times New Roman" w:hAnsi="Times New Roman" w:cs="Times New Roman"/>
          <w:sz w:val="24"/>
          <w:szCs w:val="24"/>
        </w:rPr>
        <w:t xml:space="preserve">ly </w:t>
      </w:r>
      <w:r>
        <w:rPr>
          <w:rFonts w:ascii="Times New Roman" w:eastAsia="Times New Roman" w:hAnsi="Times New Roman" w:cs="Times New Roman"/>
          <w:color w:val="000000"/>
          <w:sz w:val="24"/>
          <w:szCs w:val="24"/>
        </w:rPr>
        <w:t>monitors for constituents in our drinking water in accordance with the Federal and Utah State laws. The following table shows the results of our monitoring for the period of January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to December 31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2018.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All drinking water, including bottled drinking water, may be reasonably expected to contain at least small amounts of some constituents.  It's important to remember that</w:t>
      </w:r>
      <w:r>
        <w:rPr>
          <w:rFonts w:ascii="Times New Roman" w:eastAsia="Times New Roman" w:hAnsi="Times New Roman" w:cs="Times New Roman"/>
          <w:sz w:val="24"/>
          <w:szCs w:val="24"/>
        </w:rPr>
        <w:t xml:space="preserve"> the presence of these constituents does not necessarily pose a health risk.</w:t>
      </w:r>
    </w:p>
    <w:p w:rsidR="002179FC" w:rsidRDefault="00A40191">
      <w:pPr>
        <w:keepNext/>
        <w:keepLines/>
        <w:tabs>
          <w:tab w:val="left" w:pos="0"/>
          <w:tab w:val="left" w:pos="720"/>
          <w:tab w:val="left" w:pos="3870"/>
          <w:tab w:val="left" w:pos="5670"/>
          <w:tab w:val="left" w:pos="7830"/>
          <w:tab w:val="left" w:pos="8550"/>
          <w:tab w:val="left" w:pos="8640"/>
          <w:tab w:val="left" w:pos="9360"/>
        </w:tabs>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In the fo</w:t>
      </w:r>
      <w:r>
        <w:rPr>
          <w:rFonts w:ascii="Times New Roman" w:eastAsia="Times New Roman" w:hAnsi="Times New Roman" w:cs="Times New Roman"/>
          <w:sz w:val="24"/>
          <w:szCs w:val="24"/>
        </w:rPr>
        <w:t>llowing table you will find many terms and abbreviations you might not be familiar with. To help you better understand these terms we've provided the following definitions:</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ND/Low - High</w:t>
      </w:r>
      <w:r>
        <w:rPr>
          <w:rFonts w:ascii="Times New Roman" w:eastAsia="Times New Roman" w:hAnsi="Times New Roman" w:cs="Times New Roman"/>
          <w:i/>
        </w:rPr>
        <w:t xml:space="preserve"> -</w:t>
      </w:r>
      <w:r>
        <w:rPr>
          <w:rFonts w:ascii="Times New Roman" w:eastAsia="Times New Roman" w:hAnsi="Times New Roman" w:cs="Times New Roman"/>
        </w:rPr>
        <w:t xml:space="preserve"> For water systems that have multiple sources of water, the Utah Div</w:t>
      </w:r>
      <w:r>
        <w:rPr>
          <w:rFonts w:ascii="Times New Roman" w:eastAsia="Times New Roman" w:hAnsi="Times New Roman" w:cs="Times New Roman"/>
        </w:rPr>
        <w:t>ision of Drinking Water has given water systems the option of listing the test results of the constituents in one table, instead of multiple tables. To accomplish this, the lowest and highest values detected in the multiple sources are recorded in the same</w:t>
      </w:r>
      <w:r>
        <w:rPr>
          <w:rFonts w:ascii="Times New Roman" w:eastAsia="Times New Roman" w:hAnsi="Times New Roman" w:cs="Times New Roman"/>
        </w:rPr>
        <w:t xml:space="preserve"> space in the report table. </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b/>
          <w:i/>
        </w:rPr>
        <w:t>Parts per million (ppm) or Milligrams per liter (mg/l)</w:t>
      </w:r>
      <w:r>
        <w:rPr>
          <w:rFonts w:ascii="Times New Roman" w:eastAsia="Times New Roman" w:hAnsi="Times New Roman" w:cs="Times New Roman"/>
        </w:rPr>
        <w:t xml:space="preserve"> - one part per million corresponds to one minute in two years or a single penny in $10,000.</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Parts per billion (ppb) or Micrograms per liter (ug/l)</w:t>
      </w:r>
      <w:r>
        <w:rPr>
          <w:rFonts w:ascii="Times New Roman" w:eastAsia="Times New Roman" w:hAnsi="Times New Roman" w:cs="Times New Roman"/>
        </w:rPr>
        <w:t xml:space="preserve"> - one part per billion c</w:t>
      </w:r>
      <w:r>
        <w:rPr>
          <w:rFonts w:ascii="Times New Roman" w:eastAsia="Times New Roman" w:hAnsi="Times New Roman" w:cs="Times New Roman"/>
        </w:rPr>
        <w:t xml:space="preserve">orresponds to one minute in 2,000 years, or a single penny in $10,000,000. </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Parts per trillion (ppt) or Nanograms per liter (nanograms/l)</w:t>
      </w:r>
      <w:r>
        <w:rPr>
          <w:rFonts w:ascii="Times New Roman" w:eastAsia="Times New Roman" w:hAnsi="Times New Roman" w:cs="Times New Roman"/>
        </w:rPr>
        <w:t xml:space="preserve"> - one part per trillion corresponds to one minute in 2,000,000 years, or a single penny in $10,000,000,000.</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Picocuries per liter (pCi/L)</w:t>
      </w:r>
      <w:r>
        <w:rPr>
          <w:rFonts w:ascii="Times New Roman" w:eastAsia="Times New Roman" w:hAnsi="Times New Roman" w:cs="Times New Roman"/>
        </w:rPr>
        <w:t xml:space="preserve"> - picocuries per liter is a measure of the radioactivity in water.</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Nephelometric Turbidity Unit (NTU)</w:t>
      </w:r>
      <w:r>
        <w:rPr>
          <w:rFonts w:ascii="Times New Roman" w:eastAsia="Times New Roman" w:hAnsi="Times New Roman" w:cs="Times New Roman"/>
        </w:rPr>
        <w:t xml:space="preserve"> - nephelometric turbidity unit is a measure of the clarity of water. Turbidity in excess of 5 NTU is just noticeable to the a</w:t>
      </w:r>
      <w:r>
        <w:rPr>
          <w:rFonts w:ascii="Times New Roman" w:eastAsia="Times New Roman" w:hAnsi="Times New Roman" w:cs="Times New Roman"/>
        </w:rPr>
        <w:t>verage person.</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Action Level (AL)</w:t>
      </w:r>
      <w:r>
        <w:rPr>
          <w:rFonts w:ascii="Times New Roman" w:eastAsia="Times New Roman" w:hAnsi="Times New Roman" w:cs="Times New Roman"/>
        </w:rPr>
        <w:t xml:space="preserve"> - the concentration of a contaminant which, if exceeded, triggers treatment or other requirements which a water system must follow.</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Maximum Contaminant Level (MCL)</w:t>
      </w:r>
      <w:r>
        <w:rPr>
          <w:rFonts w:ascii="Times New Roman" w:eastAsia="Times New Roman" w:hAnsi="Times New Roman" w:cs="Times New Roman"/>
        </w:rPr>
        <w:t xml:space="preserve"> - (mandatory language) The “Maximum Allowed” (MCL) is the h</w:t>
      </w:r>
      <w:r>
        <w:rPr>
          <w:rFonts w:ascii="Times New Roman" w:eastAsia="Times New Roman" w:hAnsi="Times New Roman" w:cs="Times New Roman"/>
        </w:rPr>
        <w:t xml:space="preserve">ighest level </w:t>
      </w:r>
      <w:r>
        <w:rPr>
          <w:rFonts w:ascii="Times New Roman" w:eastAsia="Times New Roman" w:hAnsi="Times New Roman" w:cs="Times New Roman"/>
        </w:rPr>
        <w:lastRenderedPageBreak/>
        <w:t>of a contaminant that is allowed in drinking water.  MCLs are set as close to the MCLGs as feasible using the best available treatment technology.</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Maximum Contaminant Level Goal (MCLG)</w:t>
      </w:r>
      <w:r>
        <w:rPr>
          <w:rFonts w:ascii="Times New Roman" w:eastAsia="Times New Roman" w:hAnsi="Times New Roman" w:cs="Times New Roman"/>
        </w:rPr>
        <w:t xml:space="preserve"> - (mandatory language) The “Goal”(MCLG) is the level of a </w:t>
      </w:r>
      <w:r>
        <w:rPr>
          <w:rFonts w:ascii="Times New Roman" w:eastAsia="Times New Roman" w:hAnsi="Times New Roman" w:cs="Times New Roman"/>
        </w:rPr>
        <w:t>contaminant in drinking water below which there is no known or expected risk to health.  MCLGs allow for a margin of safety.</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pPr>
      <w:r>
        <w:rPr>
          <w:rFonts w:ascii="Times New Roman" w:eastAsia="Times New Roman" w:hAnsi="Times New Roman" w:cs="Times New Roman"/>
          <w:b/>
          <w:i/>
        </w:rPr>
        <w:t>Maximum Residual Disinfectant Level (MRDL)</w:t>
      </w:r>
      <w:r>
        <w:rPr>
          <w:rFonts w:ascii="Times New Roman" w:eastAsia="Times New Roman" w:hAnsi="Times New Roman" w:cs="Times New Roman"/>
        </w:rPr>
        <w:t xml:space="preserve"> - The highest level of a disinfectant allowed in drinking water. There is convincing evidence that addition of a disinfectant is necessary for control of microbial contaminants.</w:t>
      </w:r>
      <w:r>
        <w:t xml:space="preserve"> </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color w:val="800000"/>
        </w:rPr>
      </w:pPr>
      <w:r>
        <w:rPr>
          <w:rFonts w:ascii="Times New Roman" w:eastAsia="Times New Roman" w:hAnsi="Times New Roman" w:cs="Times New Roman"/>
          <w:b/>
          <w:i/>
        </w:rPr>
        <w:t>Maximum Residual Disinfectant Level Goal (MRDLG)</w:t>
      </w:r>
      <w:r>
        <w:rPr>
          <w:rFonts w:ascii="Times New Roman" w:eastAsia="Times New Roman" w:hAnsi="Times New Roman" w:cs="Times New Roman"/>
        </w:rPr>
        <w:t xml:space="preserve"> - The level of a drinking w</w:t>
      </w:r>
      <w:r>
        <w:rPr>
          <w:rFonts w:ascii="Times New Roman" w:eastAsia="Times New Roman" w:hAnsi="Times New Roman" w:cs="Times New Roman"/>
        </w:rPr>
        <w:t xml:space="preserve">ater disinfectant below which there is no known or expected risk to health. MRDLGs do not reflect the benefits of the use of disinfectants to control microbial contaminants. </w:t>
      </w:r>
      <w:r>
        <w:rPr>
          <w:rFonts w:ascii="Times New Roman" w:eastAsia="Times New Roman" w:hAnsi="Times New Roman" w:cs="Times New Roman"/>
        </w:rPr>
        <w:br/>
      </w:r>
      <w:r>
        <w:rPr>
          <w:rFonts w:ascii="Times New Roman" w:eastAsia="Times New Roman" w:hAnsi="Times New Roman" w:cs="Times New Roman"/>
          <w:b/>
          <w:i/>
        </w:rPr>
        <w:t>Date</w:t>
      </w:r>
      <w:r>
        <w:rPr>
          <w:rFonts w:ascii="Times New Roman" w:eastAsia="Times New Roman" w:hAnsi="Times New Roman" w:cs="Times New Roman"/>
        </w:rPr>
        <w:t xml:space="preserve">- Because of required sampling time frames i.e. yearly, 3 years, 4 years and </w:t>
      </w:r>
      <w:r>
        <w:rPr>
          <w:rFonts w:ascii="Times New Roman" w:eastAsia="Times New Roman" w:hAnsi="Times New Roman" w:cs="Times New Roman"/>
        </w:rPr>
        <w:t>6 years, sampling dates “May” seem out of date.</w:t>
      </w:r>
      <w:r>
        <w:rPr>
          <w:rFonts w:ascii="Times New Roman" w:eastAsia="Times New Roman" w:hAnsi="Times New Roman" w:cs="Times New Roman"/>
          <w:b/>
          <w:i/>
          <w:color w:val="800000"/>
        </w:rPr>
        <w:t xml:space="preserve"> </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hanging="2"/>
        <w:rPr>
          <w:rFonts w:ascii="Times New Roman" w:eastAsia="Times New Roman" w:hAnsi="Times New Roman" w:cs="Times New Roman"/>
        </w:rPr>
      </w:pPr>
      <w:r>
        <w:rPr>
          <w:rFonts w:ascii="Times New Roman" w:eastAsia="Times New Roman" w:hAnsi="Times New Roman" w:cs="Times New Roman"/>
          <w:b/>
          <w:i/>
        </w:rPr>
        <w:t>Hardness of Hyrum water</w:t>
      </w:r>
      <w:r>
        <w:rPr>
          <w:rFonts w:ascii="Times New Roman" w:eastAsia="Times New Roman" w:hAnsi="Times New Roman" w:cs="Times New Roman"/>
        </w:rPr>
        <w:t xml:space="preserve"> is 104 Milligrams per liter or 6 grains.</w:t>
      </w:r>
    </w:p>
    <w:tbl>
      <w:tblPr>
        <w:tblStyle w:val="a"/>
        <w:tblW w:w="10980" w:type="dxa"/>
        <w:tblInd w:w="-620" w:type="dxa"/>
        <w:tblLayout w:type="fixed"/>
        <w:tblLook w:val="0000" w:firstRow="0" w:lastRow="0" w:firstColumn="0" w:lastColumn="0" w:noHBand="0" w:noVBand="0"/>
      </w:tblPr>
      <w:tblGrid>
        <w:gridCol w:w="2160"/>
        <w:gridCol w:w="810"/>
        <w:gridCol w:w="990"/>
        <w:gridCol w:w="1350"/>
        <w:gridCol w:w="900"/>
        <w:gridCol w:w="1562"/>
        <w:gridCol w:w="868"/>
        <w:gridCol w:w="2340"/>
      </w:tblGrid>
      <w:tr w:rsidR="002179FC">
        <w:trPr>
          <w:trHeight w:val="400"/>
        </w:trPr>
        <w:tc>
          <w:tcPr>
            <w:tcW w:w="10980" w:type="dxa"/>
            <w:gridSpan w:val="8"/>
            <w:tcBorders>
              <w:top w:val="single" w:sz="6" w:space="0" w:color="000000"/>
              <w:left w:val="single" w:sz="6" w:space="0" w:color="000000"/>
              <w:right w:val="single" w:sz="6" w:space="0" w:color="000000"/>
            </w:tcBorders>
          </w:tcPr>
          <w:p w:rsidR="002179FC" w:rsidRDefault="00A40191">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TEST RESULTS</w:t>
            </w:r>
          </w:p>
        </w:tc>
      </w:tr>
      <w:tr w:rsidR="002179FC">
        <w:trPr>
          <w:trHeight w:val="400"/>
        </w:trPr>
        <w:tc>
          <w:tcPr>
            <w:tcW w:w="216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Contaminant</w:t>
            </w:r>
          </w:p>
        </w:tc>
        <w:tc>
          <w:tcPr>
            <w:tcW w:w="81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Violation</w:t>
            </w:r>
          </w:p>
          <w:p w:rsidR="002179FC" w:rsidRDefault="00A40191">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16"/>
                <w:szCs w:val="16"/>
              </w:rPr>
              <w:t>Y/N</w:t>
            </w:r>
          </w:p>
        </w:tc>
        <w:tc>
          <w:tcPr>
            <w:tcW w:w="99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Level </w:t>
            </w:r>
          </w:p>
          <w:p w:rsidR="002179FC" w:rsidRDefault="00A40191">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Detected</w:t>
            </w:r>
          </w:p>
          <w:p w:rsidR="002179FC" w:rsidRDefault="00A40191">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16"/>
                <w:szCs w:val="16"/>
              </w:rPr>
              <w:t>ND/Low-High</w:t>
            </w:r>
          </w:p>
        </w:tc>
        <w:tc>
          <w:tcPr>
            <w:tcW w:w="135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Unit</w:t>
            </w:r>
          </w:p>
          <w:p w:rsidR="002179FC" w:rsidRDefault="00A40191">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16"/>
                <w:szCs w:val="16"/>
              </w:rPr>
              <w:t>Measurement</w:t>
            </w:r>
          </w:p>
        </w:tc>
        <w:tc>
          <w:tcPr>
            <w:tcW w:w="900" w:type="dxa"/>
            <w:tcBorders>
              <w:top w:val="single" w:sz="6" w:space="0" w:color="000000"/>
              <w:left w:val="single" w:sz="6" w:space="0" w:color="000000"/>
              <w:bottom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MCLG</w:t>
            </w:r>
          </w:p>
        </w:tc>
        <w:tc>
          <w:tcPr>
            <w:tcW w:w="1562"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MCL</w:t>
            </w:r>
          </w:p>
        </w:tc>
        <w:tc>
          <w:tcPr>
            <w:tcW w:w="868"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Date Sampled</w:t>
            </w:r>
          </w:p>
        </w:tc>
        <w:tc>
          <w:tcPr>
            <w:tcW w:w="2340" w:type="dxa"/>
            <w:tcBorders>
              <w:top w:val="single" w:sz="6" w:space="0" w:color="000000"/>
              <w:left w:val="single" w:sz="6" w:space="0" w:color="000000"/>
              <w:bottom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Likely Source of Contamination</w:t>
            </w:r>
          </w:p>
        </w:tc>
      </w:tr>
      <w:tr w:rsidR="002179FC">
        <w:trPr>
          <w:trHeight w:val="400"/>
        </w:trPr>
        <w:tc>
          <w:tcPr>
            <w:tcW w:w="10980" w:type="dxa"/>
            <w:gridSpan w:val="8"/>
            <w:tcBorders>
              <w:top w:val="single" w:sz="6" w:space="0" w:color="000000"/>
              <w:left w:val="single" w:sz="6" w:space="0" w:color="000000"/>
              <w:right w:val="single" w:sz="6" w:space="0" w:color="000000"/>
            </w:tcBorders>
          </w:tcPr>
          <w:p w:rsidR="002179FC" w:rsidRDefault="00A40191">
            <w:pP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Microbiological Contaminants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Total Coliform Bacteria                                    </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62"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Presence of coliform bacteria in 5% of monthly samples</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Naturally present in the environment</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Fecal Coliform &amp; E. Coli</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350" w:type="dxa"/>
            <w:tcBorders>
              <w:top w:val="single" w:sz="6" w:space="0" w:color="000000"/>
              <w:left w:val="single" w:sz="6" w:space="0" w:color="000000"/>
            </w:tcBorders>
          </w:tcPr>
          <w:p w:rsidR="002179FC" w:rsidRDefault="00A40191">
            <w:pPr>
              <w:pStyle w:val="Heading6"/>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ND</w:t>
            </w:r>
          </w:p>
        </w:tc>
        <w:tc>
          <w:tcPr>
            <w:tcW w:w="900" w:type="dxa"/>
            <w:tcBorders>
              <w:top w:val="single" w:sz="6" w:space="0" w:color="000000"/>
              <w:left w:val="single" w:sz="6" w:space="0" w:color="000000"/>
            </w:tcBorders>
          </w:tcPr>
          <w:p w:rsidR="002179FC" w:rsidRDefault="00A40191">
            <w:pPr>
              <w:pStyle w:val="Heading6"/>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Routine sample and a repeat samples are total coliform positive, and one is also fecal coliform or E.coli positive </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Naturally present in the environment</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Turbidity </w:t>
            </w:r>
          </w:p>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for Gr</w:t>
            </w:r>
            <w:r>
              <w:rPr>
                <w:rFonts w:ascii="Times New Roman" w:eastAsia="Times New Roman" w:hAnsi="Times New Roman" w:cs="Times New Roman"/>
                <w:sz w:val="18"/>
                <w:szCs w:val="18"/>
              </w:rPr>
              <w:t>ound Water</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0.07-0.07</w:t>
            </w:r>
          </w:p>
        </w:tc>
        <w:tc>
          <w:tcPr>
            <w:tcW w:w="1350" w:type="dxa"/>
            <w:tcBorders>
              <w:top w:val="single" w:sz="6" w:space="0" w:color="000000"/>
              <w:left w:val="single" w:sz="6" w:space="0" w:color="000000"/>
            </w:tcBorders>
          </w:tcPr>
          <w:p w:rsidR="002179FC" w:rsidRDefault="00A40191">
            <w:pPr>
              <w:pStyle w:val="Heading6"/>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NTU</w:t>
            </w:r>
          </w:p>
        </w:tc>
        <w:tc>
          <w:tcPr>
            <w:tcW w:w="900" w:type="dxa"/>
            <w:tcBorders>
              <w:top w:val="single" w:sz="6" w:space="0" w:color="000000"/>
              <w:left w:val="single" w:sz="6" w:space="0" w:color="000000"/>
            </w:tcBorders>
          </w:tcPr>
          <w:p w:rsidR="002179FC" w:rsidRDefault="00A40191">
            <w:pPr>
              <w:pStyle w:val="Heading6"/>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Soil runoff</w:t>
            </w:r>
          </w:p>
        </w:tc>
      </w:tr>
      <w:tr w:rsidR="002179FC">
        <w:trPr>
          <w:trHeight w:val="400"/>
        </w:trPr>
        <w:tc>
          <w:tcPr>
            <w:tcW w:w="10980" w:type="dxa"/>
            <w:gridSpan w:val="8"/>
            <w:tcBorders>
              <w:top w:val="single" w:sz="6" w:space="0" w:color="000000"/>
              <w:left w:val="single" w:sz="6" w:space="0" w:color="000000"/>
              <w:right w:val="single" w:sz="6" w:space="0" w:color="000000"/>
            </w:tcBorders>
          </w:tcPr>
          <w:p w:rsidR="002179FC" w:rsidRDefault="00A40191">
            <w:pP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Radioactive Contaminants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Alpha emitters    </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0-1.3</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pCi/1</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2016, 2018</w:t>
            </w:r>
          </w:p>
          <w:p w:rsidR="002179FC" w:rsidRDefault="002179FC">
            <w:pPr>
              <w:ind w:left="0" w:hanging="2"/>
              <w:jc w:val="center"/>
              <w:rPr>
                <w:rFonts w:ascii="Times New Roman" w:eastAsia="Times New Roman" w:hAnsi="Times New Roman" w:cs="Times New Roman"/>
                <w:sz w:val="18"/>
                <w:szCs w:val="18"/>
              </w:rPr>
            </w:pP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Erosion of natural deposits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Radium 228</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0.28-0.56</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pCi/1</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2016, 2018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Erosion of natural deposits</w:t>
            </w:r>
          </w:p>
        </w:tc>
      </w:tr>
      <w:tr w:rsidR="002179FC">
        <w:trPr>
          <w:trHeight w:val="400"/>
        </w:trPr>
        <w:tc>
          <w:tcPr>
            <w:tcW w:w="10980" w:type="dxa"/>
            <w:gridSpan w:val="8"/>
            <w:tcBorders>
              <w:top w:val="single" w:sz="6" w:space="0" w:color="000000"/>
              <w:left w:val="single" w:sz="6" w:space="0" w:color="000000"/>
              <w:right w:val="single" w:sz="6" w:space="0" w:color="000000"/>
            </w:tcBorders>
          </w:tcPr>
          <w:p w:rsidR="002179FC" w:rsidRDefault="00A40191">
            <w:pP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Inorganic Contaminants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Barium</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0.041-0.041</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Discharge of drilling wastes; discharge from metal refineries; erosion of natural deposits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Copper</w:t>
            </w:r>
          </w:p>
          <w:p w:rsidR="002179FC" w:rsidRDefault="00A40191">
            <w:pPr>
              <w:numPr>
                <w:ilvl w:val="0"/>
                <w:numId w:val="2"/>
              </w:num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90% results</w:t>
            </w:r>
          </w:p>
          <w:p w:rsidR="002179FC" w:rsidRDefault="00A40191">
            <w:pPr>
              <w:numPr>
                <w:ilvl w:val="0"/>
                <w:numId w:val="2"/>
              </w:num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of sites that exceed the </w:t>
            </w:r>
            <w:r>
              <w:rPr>
                <w:rFonts w:ascii="Times New Roman" w:eastAsia="Times New Roman" w:hAnsi="Times New Roman" w:cs="Times New Roman"/>
                <w:b/>
                <w:sz w:val="18"/>
                <w:szCs w:val="18"/>
              </w:rPr>
              <w:t>AL</w:t>
            </w:r>
            <w:r>
              <w:rPr>
                <w:rFonts w:ascii="Times New Roman" w:eastAsia="Times New Roman" w:hAnsi="Times New Roman" w:cs="Times New Roman"/>
                <w:sz w:val="18"/>
                <w:szCs w:val="18"/>
              </w:rPr>
              <w:t xml:space="preserve"> </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a. 0.113</w:t>
            </w:r>
          </w:p>
          <w:p w:rsidR="002179FC" w:rsidRDefault="002179FC">
            <w:pPr>
              <w:ind w:left="0" w:hanging="2"/>
              <w:rPr>
                <w:rFonts w:ascii="Times New Roman" w:eastAsia="Times New Roman" w:hAnsi="Times New Roman" w:cs="Times New Roman"/>
                <w:sz w:val="18"/>
                <w:szCs w:val="18"/>
              </w:rPr>
            </w:pPr>
          </w:p>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b. 0</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AL=1300</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2017</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Corrosion of household plumbing systems; erosion of natural deposits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Fluoride</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0.122-0.122</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Erosion of natural deposits; Water additive which promotes strong teeth. Discharge from fertilizer and aluminum factories.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Lead</w:t>
            </w:r>
          </w:p>
          <w:p w:rsidR="002179FC" w:rsidRDefault="00A40191">
            <w:pPr>
              <w:numPr>
                <w:ilvl w:val="0"/>
                <w:numId w:val="3"/>
              </w:num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90% results</w:t>
            </w:r>
          </w:p>
          <w:p w:rsidR="002179FC" w:rsidRDefault="00A40191">
            <w:pPr>
              <w:numPr>
                <w:ilvl w:val="0"/>
                <w:numId w:val="3"/>
              </w:num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of sites that exceed the </w:t>
            </w:r>
            <w:r>
              <w:rPr>
                <w:rFonts w:ascii="Times New Roman" w:eastAsia="Times New Roman" w:hAnsi="Times New Roman" w:cs="Times New Roman"/>
                <w:b/>
                <w:sz w:val="18"/>
                <w:szCs w:val="18"/>
              </w:rPr>
              <w:t>AL</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a. 1.4</w:t>
            </w:r>
          </w:p>
          <w:p w:rsidR="002179FC" w:rsidRDefault="002179FC">
            <w:pPr>
              <w:ind w:left="0" w:hanging="2"/>
              <w:rPr>
                <w:rFonts w:ascii="Times New Roman" w:eastAsia="Times New Roman" w:hAnsi="Times New Roman" w:cs="Times New Roman"/>
                <w:sz w:val="18"/>
                <w:szCs w:val="18"/>
              </w:rPr>
            </w:pPr>
          </w:p>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b.1</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ppb</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AL=15000</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2017</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Corrosion of household plumbing systems, erosion of</w:t>
            </w:r>
            <w:r>
              <w:rPr>
                <w:rFonts w:ascii="Times New Roman" w:eastAsia="Times New Roman" w:hAnsi="Times New Roman" w:cs="Times New Roman"/>
                <w:sz w:val="18"/>
                <w:szCs w:val="18"/>
              </w:rPr>
              <w:t xml:space="preserve"> natural deposits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Nitrate (as Nitrogen)</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0.187-0.34</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Runoff from fertilizer use; </w:t>
            </w:r>
            <w:r>
              <w:rPr>
                <w:rFonts w:ascii="Times New Roman" w:eastAsia="Times New Roman" w:hAnsi="Times New Roman" w:cs="Times New Roman"/>
                <w:sz w:val="18"/>
                <w:szCs w:val="18"/>
              </w:rPr>
              <w:lastRenderedPageBreak/>
              <w:t>leaching from septic tanks, sewage; erosion of natural deposits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Selenium</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0.6-0.6</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ppb</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p w:rsidR="002179FC" w:rsidRDefault="002179FC">
            <w:pPr>
              <w:ind w:left="0" w:hanging="2"/>
              <w:jc w:val="center"/>
              <w:rPr>
                <w:rFonts w:ascii="Times New Roman" w:eastAsia="Times New Roman" w:hAnsi="Times New Roman" w:cs="Times New Roman"/>
                <w:sz w:val="18"/>
                <w:szCs w:val="18"/>
              </w:rPr>
            </w:pP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Discharge from petroleum and metal refineries; erosion of natural deposits; discharge from mines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Sodium</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4.98-4.98</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None set by EPA</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Erosion of natural deposits; discharge from refineries and factories; runoff from landfills.</w:t>
            </w:r>
          </w:p>
        </w:tc>
      </w:tr>
      <w:tr w:rsidR="002179FC">
        <w:trPr>
          <w:trHeight w:val="400"/>
        </w:trPr>
        <w:tc>
          <w:tcPr>
            <w:tcW w:w="2160" w:type="dxa"/>
            <w:tcBorders>
              <w:top w:val="single" w:sz="6" w:space="0" w:color="000000"/>
              <w:lef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Sulfate</w:t>
            </w:r>
          </w:p>
        </w:tc>
        <w:tc>
          <w:tcPr>
            <w:tcW w:w="81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18.3-1</w:t>
            </w:r>
            <w:r>
              <w:rPr>
                <w:rFonts w:ascii="Times New Roman" w:eastAsia="Times New Roman" w:hAnsi="Times New Roman" w:cs="Times New Roman"/>
                <w:sz w:val="18"/>
                <w:szCs w:val="18"/>
              </w:rPr>
              <w:t>8.3</w:t>
            </w:r>
          </w:p>
        </w:tc>
        <w:tc>
          <w:tcPr>
            <w:tcW w:w="135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1562"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868" w:type="dxa"/>
            <w:tcBorders>
              <w:top w:val="single" w:sz="6" w:space="0" w:color="000000"/>
              <w:left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righ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Erosion of natural deposits; discharge from refineries and factories; runoff from landfills, runoff from cropland</w:t>
            </w:r>
          </w:p>
        </w:tc>
      </w:tr>
      <w:tr w:rsidR="002179FC">
        <w:trPr>
          <w:trHeight w:val="400"/>
        </w:trPr>
        <w:tc>
          <w:tcPr>
            <w:tcW w:w="2160" w:type="dxa"/>
            <w:tcBorders>
              <w:top w:val="single" w:sz="6" w:space="0" w:color="000000"/>
              <w:left w:val="single" w:sz="6" w:space="0" w:color="000000"/>
              <w:bottom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TDS (Total Dissolved Solids</w:t>
            </w:r>
          </w:p>
        </w:tc>
        <w:tc>
          <w:tcPr>
            <w:tcW w:w="81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248-248</w:t>
            </w:r>
          </w:p>
        </w:tc>
        <w:tc>
          <w:tcPr>
            <w:tcW w:w="135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ppm</w:t>
            </w:r>
          </w:p>
        </w:tc>
        <w:tc>
          <w:tcPr>
            <w:tcW w:w="90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1562"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868"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2340" w:type="dxa"/>
            <w:tcBorders>
              <w:top w:val="single" w:sz="6" w:space="0" w:color="000000"/>
              <w:left w:val="single" w:sz="6" w:space="0" w:color="000000"/>
              <w:bottom w:val="single" w:sz="6" w:space="0" w:color="000000"/>
              <w:right w:val="single" w:sz="6" w:space="0" w:color="000000"/>
            </w:tcBorders>
          </w:tcPr>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Erosion of natural deposits</w:t>
            </w:r>
          </w:p>
        </w:tc>
      </w:tr>
      <w:tr w:rsidR="002179FC">
        <w:trPr>
          <w:trHeight w:val="400"/>
        </w:trPr>
        <w:tc>
          <w:tcPr>
            <w:tcW w:w="10980" w:type="dxa"/>
            <w:gridSpan w:val="8"/>
            <w:tcBorders>
              <w:top w:val="single" w:sz="6" w:space="0" w:color="000000"/>
              <w:left w:val="single" w:sz="6" w:space="0" w:color="000000"/>
              <w:bottom w:val="single" w:sz="6" w:space="0" w:color="000000"/>
              <w:right w:val="single" w:sz="6" w:space="0" w:color="000000"/>
            </w:tcBorders>
          </w:tcPr>
          <w:p w:rsidR="002179FC" w:rsidRDefault="00A40191">
            <w:pPr>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DBP2</w:t>
            </w:r>
          </w:p>
        </w:tc>
      </w:tr>
      <w:tr w:rsidR="002179FC">
        <w:trPr>
          <w:trHeight w:val="400"/>
        </w:trPr>
        <w:tc>
          <w:tcPr>
            <w:tcW w:w="2160" w:type="dxa"/>
            <w:tcBorders>
              <w:top w:val="single" w:sz="6" w:space="0" w:color="000000"/>
              <w:left w:val="single" w:sz="6" w:space="0" w:color="000000"/>
              <w:bottom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TTHM                                       [Total trihalomethanes]</w:t>
            </w:r>
          </w:p>
        </w:tc>
        <w:tc>
          <w:tcPr>
            <w:tcW w:w="81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9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35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ppb</w:t>
            </w:r>
          </w:p>
        </w:tc>
        <w:tc>
          <w:tcPr>
            <w:tcW w:w="900"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62"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80000</w:t>
            </w:r>
          </w:p>
        </w:tc>
        <w:tc>
          <w:tcPr>
            <w:tcW w:w="868" w:type="dxa"/>
            <w:tcBorders>
              <w:top w:val="single" w:sz="6" w:space="0" w:color="000000"/>
              <w:left w:val="single" w:sz="6" w:space="0" w:color="000000"/>
              <w:bottom w:val="single" w:sz="6" w:space="0" w:color="000000"/>
            </w:tcBorders>
          </w:tcPr>
          <w:p w:rsidR="002179FC" w:rsidRDefault="00A40191">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2017</w:t>
            </w:r>
          </w:p>
        </w:tc>
        <w:tc>
          <w:tcPr>
            <w:tcW w:w="2340" w:type="dxa"/>
            <w:tcBorders>
              <w:top w:val="single" w:sz="6" w:space="0" w:color="000000"/>
              <w:left w:val="single" w:sz="6" w:space="0" w:color="000000"/>
              <w:bottom w:val="single" w:sz="6" w:space="0" w:color="000000"/>
              <w:right w:val="single" w:sz="6" w:space="0" w:color="000000"/>
            </w:tcBorders>
          </w:tcPr>
          <w:p w:rsidR="002179FC" w:rsidRDefault="00A40191">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By-product of drinking water disinfection</w:t>
            </w:r>
          </w:p>
        </w:tc>
      </w:tr>
    </w:tbl>
    <w:p w:rsidR="002179FC" w:rsidRDefault="00A40191">
      <w:pPr>
        <w:tabs>
          <w:tab w:val="left" w:pos="-720"/>
          <w:tab w:val="left" w:pos="0"/>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79FC" w:rsidRDefault="002179FC">
      <w:pPr>
        <w:tabs>
          <w:tab w:val="left" w:pos="-720"/>
          <w:tab w:val="left" w:pos="0"/>
          <w:tab w:val="left" w:pos="720"/>
        </w:tabs>
        <w:ind w:left="0" w:hanging="2"/>
        <w:rPr>
          <w:rFonts w:ascii="Times New Roman" w:eastAsia="Times New Roman" w:hAnsi="Times New Roman" w:cs="Times New Roman"/>
          <w:sz w:val="24"/>
          <w:szCs w:val="24"/>
        </w:rPr>
      </w:pPr>
    </w:p>
    <w:p w:rsidR="002179FC" w:rsidRDefault="00A40191">
      <w:pPr>
        <w:tabs>
          <w:tab w:val="left" w:pos="-720"/>
          <w:tab w:val="left" w:pos="0"/>
          <w:tab w:val="left" w:pos="72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Chlorine Residual Monitoring (Code 27) </w:t>
      </w:r>
    </w:p>
    <w:p w:rsidR="002179FC" w:rsidRDefault="00A40191">
      <w:pPr>
        <w:tabs>
          <w:tab w:val="left" w:pos="-720"/>
        </w:tabs>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 periodically monitor for a Chlorine Residual in the distribution system to meet all regulatory requirements. In </w:t>
      </w:r>
      <w:r>
        <w:rPr>
          <w:rFonts w:ascii="Times New Roman" w:eastAsia="Times New Roman" w:hAnsi="Times New Roman" w:cs="Times New Roman"/>
          <w:sz w:val="24"/>
          <w:szCs w:val="24"/>
        </w:rPr>
        <w:t>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Quarter</w:t>
      </w:r>
      <w:r>
        <w:rPr>
          <w:rFonts w:ascii="Times New Roman" w:eastAsia="Times New Roman" w:hAnsi="Times New Roman" w:cs="Times New Roman"/>
          <w:color w:val="000000"/>
          <w:sz w:val="24"/>
          <w:szCs w:val="24"/>
        </w:rPr>
        <w:t xml:space="preserve"> 2017 we failed to take the required samples.  Testing for a Chlorine Residual is used to ensure that the public is provided w</w:t>
      </w:r>
      <w:r>
        <w:rPr>
          <w:rFonts w:ascii="Times New Roman" w:eastAsia="Times New Roman" w:hAnsi="Times New Roman" w:cs="Times New Roman"/>
          <w:color w:val="000000"/>
          <w:sz w:val="24"/>
          <w:szCs w:val="24"/>
        </w:rPr>
        <w:t>ith safe drinking water.  This violation does not necessarily pose a health risk.</w:t>
      </w:r>
      <w:r>
        <w:rPr>
          <w:rFonts w:ascii="Times New Roman" w:eastAsia="Times New Roman" w:hAnsi="Times New Roman" w:cs="Times New Roman"/>
          <w:color w:val="800080"/>
          <w:sz w:val="24"/>
          <w:szCs w:val="24"/>
        </w:rPr>
        <w:t xml:space="preserve">  </w:t>
      </w:r>
      <w:r>
        <w:rPr>
          <w:rFonts w:ascii="Times New Roman" w:eastAsia="Times New Roman" w:hAnsi="Times New Roman" w:cs="Times New Roman"/>
          <w:sz w:val="24"/>
          <w:szCs w:val="24"/>
        </w:rPr>
        <w:t>We have reviewed why we failed to take the required samples and will take steps to ensure that it will not happen again.</w:t>
      </w:r>
    </w:p>
    <w:p w:rsidR="002179FC" w:rsidRDefault="002179F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hanging="2"/>
        <w:rPr>
          <w:rFonts w:ascii="Times New Roman" w:eastAsia="Times New Roman" w:hAnsi="Times New Roman" w:cs="Times New Roman"/>
          <w:sz w:val="24"/>
          <w:szCs w:val="24"/>
        </w:rPr>
      </w:pP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hanging="2"/>
        <w:rPr>
          <w:rFonts w:ascii="Times New Roman" w:eastAsia="Times New Roman" w:hAnsi="Times New Roman" w:cs="Times New Roman"/>
          <w:color w:val="800000"/>
          <w:sz w:val="36"/>
          <w:szCs w:val="3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All sources of drinking water are subject to potential contamination by constituents that are naturally occurring or are man made.  Those constituents can be microbes, organic or inorganic chemicals, or radioactive materials.  All drinking water, including</w:t>
      </w:r>
      <w:r>
        <w:rPr>
          <w:rFonts w:ascii="Times New Roman" w:eastAsia="Times New Roman" w:hAnsi="Times New Roman" w:cs="Times New Roman"/>
          <w:sz w:val="24"/>
          <w:szCs w:val="24"/>
        </w:rPr>
        <w:t xml:space="preserve"> bottled water, may reasonably be expected to contain at least small amounts of some contaminants.  The presence of contaminants does not necessarily indicate that the water poses a health risk. More information about contaminants and potential health effe</w:t>
      </w:r>
      <w:r>
        <w:rPr>
          <w:rFonts w:ascii="Times New Roman" w:eastAsia="Times New Roman" w:hAnsi="Times New Roman" w:cs="Times New Roman"/>
          <w:sz w:val="24"/>
          <w:szCs w:val="24"/>
        </w:rPr>
        <w:t>cts can be obtained by calling the Environmental Protection Agency’s Safe Drinking Water Hotline at 1-800-426-4791.</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hanging="2"/>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MCL’s are set at very stringent levels. To understand the possible health effects described for many regulated constituents, a person would</w:t>
      </w:r>
      <w:r>
        <w:rPr>
          <w:rFonts w:ascii="Times New Roman" w:eastAsia="Times New Roman" w:hAnsi="Times New Roman" w:cs="Times New Roman"/>
          <w:sz w:val="24"/>
          <w:szCs w:val="24"/>
        </w:rPr>
        <w:t xml:space="preserve"> have to drink 2 liters of water every day at the MCL level for a lifetime to have a one-in-a-million chance of having the described health effect.</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 people may be more vulnerable to contaminants in drinking water than the general population. Immuno-co</w:t>
      </w:r>
      <w:r>
        <w:rPr>
          <w:rFonts w:ascii="Times New Roman" w:eastAsia="Times New Roman" w:hAnsi="Times New Roman" w:cs="Times New Roman"/>
          <w:sz w:val="24"/>
          <w:szCs w:val="24"/>
        </w:rPr>
        <w:t xml:space="preserve">mpromised persons such as persons with cancer undergoing chemotherapy, persons who have undergone organ transplants, people with HIV/AIDS or other immune system disorders, some elderly, and infants can be particularly at risk from infections. These people </w:t>
      </w:r>
      <w:r>
        <w:rPr>
          <w:rFonts w:ascii="Times New Roman" w:eastAsia="Times New Roman" w:hAnsi="Times New Roman" w:cs="Times New Roman"/>
          <w:sz w:val="24"/>
          <w:szCs w:val="24"/>
        </w:rPr>
        <w:t>should seek advice about drinking water from their health care providers. EPA/CDC guidelines on appropriate means to lessen the risk of infection by cryptosporidium and other microbiological contaminants are available from the Safe Drinking Water Hotline (</w:t>
      </w:r>
      <w:r>
        <w:rPr>
          <w:rFonts w:ascii="Times New Roman" w:eastAsia="Times New Roman" w:hAnsi="Times New Roman" w:cs="Times New Roman"/>
          <w:sz w:val="24"/>
          <w:szCs w:val="24"/>
        </w:rPr>
        <w:t>800-426-4791).</w:t>
      </w:r>
    </w:p>
    <w:p w:rsidR="002179FC" w:rsidRDefault="00A401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many connections to our water distribution system.  When connections are properly installed and maintained, the concerns are very minimal.  However, unapproved and improper piping changes or connections can adversely affect not on</w:t>
      </w:r>
      <w:r>
        <w:rPr>
          <w:rFonts w:ascii="Times New Roman" w:eastAsia="Times New Roman" w:hAnsi="Times New Roman" w:cs="Times New Roman"/>
          <w:sz w:val="24"/>
          <w:szCs w:val="24"/>
        </w:rPr>
        <w:t xml:space="preserve">ly the availability, but also the quality, of the water.  A cross connection may let polluted water or even chemicals mingle into the water </w:t>
      </w:r>
      <w:r>
        <w:rPr>
          <w:rFonts w:ascii="Times New Roman" w:eastAsia="Times New Roman" w:hAnsi="Times New Roman" w:cs="Times New Roman"/>
          <w:sz w:val="24"/>
          <w:szCs w:val="24"/>
        </w:rPr>
        <w:lastRenderedPageBreak/>
        <w:t>supply system when not properly protected.  This not only compromises the water quality but can also affect your hea</w:t>
      </w:r>
      <w:r>
        <w:rPr>
          <w:rFonts w:ascii="Times New Roman" w:eastAsia="Times New Roman" w:hAnsi="Times New Roman" w:cs="Times New Roman"/>
          <w:sz w:val="24"/>
          <w:szCs w:val="24"/>
        </w:rPr>
        <w:t>lth.  So, what can we do?  Do not make or allow improper connections at your homes.  Even that unprotected garden hose lying in the puddle next to the driveway is a cross connection.  The unprotected lawn sprinkler system after you have fertilized or spray</w:t>
      </w:r>
      <w:r>
        <w:rPr>
          <w:rFonts w:ascii="Times New Roman" w:eastAsia="Times New Roman" w:hAnsi="Times New Roman" w:cs="Times New Roman"/>
          <w:sz w:val="24"/>
          <w:szCs w:val="24"/>
        </w:rPr>
        <w:t xml:space="preserve">ed is also a cross connection.  When the cross connection is allowed to exist at your home it will affect you and your family first.  If you’d like to learn more about helping to protect the quality of our water, call us for further information about ways </w:t>
      </w:r>
      <w:r>
        <w:rPr>
          <w:rFonts w:ascii="Times New Roman" w:eastAsia="Times New Roman" w:hAnsi="Times New Roman" w:cs="Times New Roman"/>
          <w:sz w:val="24"/>
          <w:szCs w:val="24"/>
        </w:rPr>
        <w:t>you can help.</w:t>
      </w:r>
    </w:p>
    <w:p w:rsidR="002179FC" w:rsidRDefault="00A40191">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hanging="2"/>
      </w:pPr>
      <w:r>
        <w:rPr>
          <w:rFonts w:ascii="Times New Roman" w:eastAsia="Times New Roman" w:hAnsi="Times New Roman" w:cs="Times New Roman"/>
          <w:sz w:val="24"/>
          <w:szCs w:val="24"/>
        </w:rPr>
        <w:tab/>
      </w:r>
      <w:r>
        <w:rPr>
          <w:sz w:val="24"/>
          <w:szCs w:val="24"/>
        </w:rPr>
        <w:t>If present, elevated levels of lead can cause serious health problems, especially for pregnant women and young children. Lead in drinking water is primarily from materials and components associated with service lines and home plumbing. Hyrum</w:t>
      </w:r>
      <w:r>
        <w:rPr>
          <w:sz w:val="24"/>
          <w:szCs w:val="24"/>
        </w:rPr>
        <w:t xml:space="preserve"> City is responsible for providing high quality drinking water, but cannot control the variety of materials used in plumbing components. When your water has been sitting for several hours, you can minimize the potential for lead exposure by flushing your t</w:t>
      </w:r>
      <w:r>
        <w:rPr>
          <w:sz w:val="24"/>
          <w:szCs w:val="24"/>
        </w:rPr>
        <w:t>ap for 30 seconds to 2 minutes before using water for drinking or cooking. If you are concerned about lead in your water, you may wish to have your water tested. Information on lead in drinking water, testing methods, and steps you can take to minimize exp</w:t>
      </w:r>
      <w:r>
        <w:rPr>
          <w:sz w:val="24"/>
          <w:szCs w:val="24"/>
        </w:rPr>
        <w:t xml:space="preserve">osure is available from the safe Drinking Water Hotline or at </w:t>
      </w:r>
      <w:hyperlink r:id="rId8">
        <w:r>
          <w:rPr>
            <w:color w:val="0000FF"/>
            <w:sz w:val="24"/>
            <w:szCs w:val="24"/>
            <w:u w:val="single"/>
          </w:rPr>
          <w:t>http://www.epa.gov/safewater/lead</w:t>
        </w:r>
      </w:hyperlink>
      <w:r>
        <w:t>.</w:t>
      </w:r>
    </w:p>
    <w:p w:rsidR="002179FC" w:rsidRDefault="00A40191">
      <w:pPr>
        <w:tabs>
          <w:tab w:val="left" w:pos="-720"/>
          <w:tab w:val="left" w:pos="0"/>
          <w:tab w:val="left" w:pos="720"/>
        </w:tabs>
        <w:ind w:left="0" w:hanging="2"/>
      </w:pPr>
      <w:r>
        <w:tab/>
      </w:r>
    </w:p>
    <w:p w:rsidR="002179FC" w:rsidRDefault="002179FC">
      <w:pPr>
        <w:tabs>
          <w:tab w:val="left" w:pos="-720"/>
          <w:tab w:val="left" w:pos="0"/>
          <w:tab w:val="left" w:pos="720"/>
        </w:tabs>
        <w:ind w:left="0" w:hanging="2"/>
      </w:pPr>
    </w:p>
    <w:p w:rsidR="002179FC" w:rsidRDefault="00A40191">
      <w:pPr>
        <w:tabs>
          <w:tab w:val="left" w:pos="-720"/>
          <w:tab w:val="left" w:pos="0"/>
          <w:tab w:val="left" w:pos="720"/>
        </w:tabs>
        <w:ind w:left="0" w:hanging="2"/>
      </w:pPr>
      <w:r>
        <w:br w:type="page"/>
      </w:r>
    </w:p>
    <w:p w:rsidR="002179FC" w:rsidRDefault="002179FC">
      <w:pPr>
        <w:tabs>
          <w:tab w:val="left" w:pos="-720"/>
          <w:tab w:val="left" w:pos="0"/>
          <w:tab w:val="left" w:pos="720"/>
        </w:tabs>
        <w:ind w:left="0" w:hanging="2"/>
      </w:pPr>
    </w:p>
    <w:p w:rsidR="002179FC" w:rsidRDefault="00A4019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0" w:hanging="2"/>
        <w:rPr>
          <w:color w:val="000000"/>
          <w:sz w:val="24"/>
          <w:szCs w:val="24"/>
        </w:rPr>
      </w:pPr>
      <w:r>
        <w:rPr>
          <w:color w:val="FF0000"/>
          <w:sz w:val="24"/>
          <w:szCs w:val="24"/>
        </w:rPr>
        <w:t xml:space="preserve">    </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March, 27, 2019</w:t>
      </w:r>
    </w:p>
    <w:p w:rsidR="002179FC" w:rsidRDefault="002179F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0" w:hanging="2"/>
        <w:rPr>
          <w:color w:val="000000"/>
          <w:sz w:val="24"/>
          <w:szCs w:val="24"/>
        </w:rPr>
      </w:pPr>
    </w:p>
    <w:p w:rsidR="002179FC" w:rsidRDefault="00A4019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Hyrum City</w:t>
      </w:r>
    </w:p>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83 West Main</w:t>
      </w:r>
    </w:p>
    <w:p w:rsidR="002179FC" w:rsidRDefault="00A4019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Hyrum, Utah </w:t>
      </w:r>
    </w:p>
    <w:p w:rsidR="002179FC" w:rsidRDefault="002179FC">
      <w:pPr>
        <w:ind w:left="0" w:hanging="2"/>
        <w:rPr>
          <w:color w:val="FF0000"/>
          <w:sz w:val="24"/>
          <w:szCs w:val="24"/>
        </w:rPr>
      </w:pPr>
    </w:p>
    <w:p w:rsidR="002179FC" w:rsidRDefault="002179FC">
      <w:pPr>
        <w:ind w:left="0" w:hanging="2"/>
        <w:rPr>
          <w:color w:val="FF0000"/>
          <w:sz w:val="24"/>
          <w:szCs w:val="24"/>
        </w:rPr>
      </w:pPr>
    </w:p>
    <w:p w:rsidR="002179FC" w:rsidRDefault="00A40191">
      <w:pPr>
        <w:ind w:left="0" w:hanging="2"/>
        <w:rPr>
          <w:sz w:val="24"/>
          <w:szCs w:val="24"/>
        </w:rPr>
      </w:pPr>
      <w:r>
        <w:rPr>
          <w:sz w:val="24"/>
          <w:szCs w:val="24"/>
        </w:rPr>
        <w:t>Colt Smith</w:t>
      </w:r>
    </w:p>
    <w:p w:rsidR="002179FC" w:rsidRDefault="00A40191">
      <w:pPr>
        <w:ind w:left="0" w:hanging="2"/>
        <w:rPr>
          <w:sz w:val="24"/>
          <w:szCs w:val="24"/>
        </w:rPr>
      </w:pPr>
      <w:r>
        <w:rPr>
          <w:sz w:val="24"/>
          <w:szCs w:val="24"/>
        </w:rPr>
        <w:t>CCR Compliance</w:t>
      </w:r>
    </w:p>
    <w:p w:rsidR="002179FC" w:rsidRDefault="00A40191">
      <w:pPr>
        <w:ind w:left="0" w:hanging="2"/>
        <w:rPr>
          <w:sz w:val="24"/>
          <w:szCs w:val="24"/>
        </w:rPr>
      </w:pPr>
      <w:r>
        <w:rPr>
          <w:sz w:val="24"/>
          <w:szCs w:val="24"/>
        </w:rPr>
        <w:t>Division of Drinking Water</w:t>
      </w:r>
    </w:p>
    <w:p w:rsidR="002179FC" w:rsidRDefault="00A40191">
      <w:pPr>
        <w:ind w:left="0" w:hanging="2"/>
        <w:rPr>
          <w:sz w:val="24"/>
          <w:szCs w:val="24"/>
        </w:rPr>
      </w:pPr>
      <w:r>
        <w:rPr>
          <w:sz w:val="24"/>
          <w:szCs w:val="24"/>
        </w:rPr>
        <w:t>P.O. Box 144830</w:t>
      </w:r>
    </w:p>
    <w:p w:rsidR="002179FC" w:rsidRDefault="00A40191">
      <w:pPr>
        <w:ind w:left="0" w:hanging="2"/>
        <w:rPr>
          <w:sz w:val="24"/>
          <w:szCs w:val="24"/>
        </w:rPr>
      </w:pPr>
      <w:r>
        <w:rPr>
          <w:sz w:val="24"/>
          <w:szCs w:val="24"/>
        </w:rPr>
        <w:t>Salt Lake City, Utah 84114-4830</w:t>
      </w:r>
    </w:p>
    <w:p w:rsidR="002179FC" w:rsidRDefault="002179FC">
      <w:pPr>
        <w:ind w:left="0" w:hanging="2"/>
        <w:rPr>
          <w:sz w:val="24"/>
          <w:szCs w:val="24"/>
        </w:rPr>
      </w:pPr>
    </w:p>
    <w:p w:rsidR="002179FC" w:rsidRDefault="00A40191">
      <w:pPr>
        <w:ind w:left="0" w:hanging="2"/>
        <w:rPr>
          <w:sz w:val="24"/>
          <w:szCs w:val="24"/>
        </w:rPr>
      </w:pPr>
      <w:r>
        <w:rPr>
          <w:sz w:val="24"/>
          <w:szCs w:val="24"/>
        </w:rPr>
        <w:t>Dear Mr. Smith:</w:t>
      </w:r>
    </w:p>
    <w:p w:rsidR="002179FC" w:rsidRDefault="002179FC">
      <w:pPr>
        <w:ind w:left="0" w:hanging="2"/>
        <w:rPr>
          <w:sz w:val="24"/>
          <w:szCs w:val="24"/>
        </w:rPr>
      </w:pPr>
    </w:p>
    <w:p w:rsidR="002179FC" w:rsidRDefault="00A40191">
      <w:pPr>
        <w:ind w:left="0" w:hanging="2"/>
        <w:rPr>
          <w:color w:val="FF0000"/>
          <w:sz w:val="24"/>
          <w:szCs w:val="24"/>
        </w:rPr>
      </w:pPr>
      <w:r>
        <w:rPr>
          <w:sz w:val="24"/>
          <w:szCs w:val="24"/>
        </w:rPr>
        <w:t>Subject:   Consumer Confidence Report for Hyrum City, 03008</w:t>
      </w:r>
    </w:p>
    <w:p w:rsidR="002179FC" w:rsidRDefault="002179FC">
      <w:pPr>
        <w:ind w:left="0" w:hanging="2"/>
        <w:rPr>
          <w:sz w:val="24"/>
          <w:szCs w:val="24"/>
        </w:rPr>
      </w:pPr>
    </w:p>
    <w:p w:rsidR="002179FC" w:rsidRDefault="00A40191">
      <w:pPr>
        <w:ind w:left="0" w:hanging="2"/>
        <w:rPr>
          <w:sz w:val="24"/>
          <w:szCs w:val="24"/>
        </w:rPr>
      </w:pPr>
      <w:r>
        <w:rPr>
          <w:sz w:val="24"/>
          <w:szCs w:val="24"/>
        </w:rPr>
        <w:t>Enclosed is a copy of Hyrum City’s 20170</w:t>
      </w:r>
      <w:r>
        <w:rPr>
          <w:b/>
          <w:i/>
          <w:color w:val="FF0000"/>
          <w:sz w:val="24"/>
          <w:szCs w:val="24"/>
        </w:rPr>
        <w:t xml:space="preserve"> </w:t>
      </w:r>
      <w:r>
        <w:rPr>
          <w:sz w:val="24"/>
          <w:szCs w:val="24"/>
        </w:rPr>
        <w:t>Consumer Confidence Report.  It contains the w</w:t>
      </w:r>
      <w:r>
        <w:rPr>
          <w:sz w:val="24"/>
          <w:szCs w:val="24"/>
        </w:rPr>
        <w:t>ater quality information for our water system for the calendar year 2018 or the most recent sample data.</w:t>
      </w:r>
    </w:p>
    <w:p w:rsidR="002179FC" w:rsidRDefault="002179FC">
      <w:pPr>
        <w:ind w:left="0" w:hanging="2"/>
        <w:rPr>
          <w:sz w:val="24"/>
          <w:szCs w:val="24"/>
        </w:rPr>
      </w:pPr>
    </w:p>
    <w:p w:rsidR="002179FC" w:rsidRDefault="00A40191">
      <w:pPr>
        <w:ind w:left="0" w:hanging="2"/>
        <w:rPr>
          <w:sz w:val="24"/>
          <w:szCs w:val="24"/>
        </w:rPr>
      </w:pPr>
      <w:r>
        <w:rPr>
          <w:sz w:val="24"/>
          <w:szCs w:val="24"/>
        </w:rPr>
        <w:t>We have delivered this report to our customers by:</w:t>
      </w:r>
    </w:p>
    <w:p w:rsidR="002179FC" w:rsidRDefault="00A40191">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Sending a notice of the availability of the report in the utility bills and sending it to those who</w:t>
      </w:r>
      <w:r>
        <w:rPr>
          <w:color w:val="000000"/>
          <w:sz w:val="24"/>
          <w:szCs w:val="24"/>
        </w:rPr>
        <w:t xml:space="preserve"> request a copy.</w:t>
      </w:r>
    </w:p>
    <w:p w:rsidR="002179FC" w:rsidRDefault="00A40191">
      <w:pPr>
        <w:numPr>
          <w:ilvl w:val="0"/>
          <w:numId w:val="4"/>
        </w:numPr>
        <w:pBdr>
          <w:top w:val="nil"/>
          <w:left w:val="nil"/>
          <w:bottom w:val="nil"/>
          <w:right w:val="nil"/>
          <w:between w:val="nil"/>
        </w:pBdr>
        <w:spacing w:line="240" w:lineRule="auto"/>
        <w:ind w:left="0" w:hanging="2"/>
        <w:rPr>
          <w:color w:val="000000"/>
          <w:sz w:val="24"/>
          <w:szCs w:val="24"/>
        </w:rPr>
      </w:pPr>
      <w:r>
        <w:rPr>
          <w:color w:val="000000"/>
          <w:sz w:val="24"/>
          <w:szCs w:val="24"/>
        </w:rPr>
        <w:t>Making copies of the report available at the water office.</w:t>
      </w:r>
    </w:p>
    <w:p w:rsidR="002179FC" w:rsidRDefault="002179FC">
      <w:pPr>
        <w:ind w:left="0" w:hanging="2"/>
        <w:rPr>
          <w:sz w:val="24"/>
          <w:szCs w:val="24"/>
        </w:rPr>
      </w:pPr>
    </w:p>
    <w:p w:rsidR="002179FC" w:rsidRDefault="00A40191">
      <w:pPr>
        <w:ind w:left="0" w:hanging="2"/>
        <w:rPr>
          <w:sz w:val="24"/>
          <w:szCs w:val="24"/>
        </w:rPr>
      </w:pPr>
      <w:r>
        <w:rPr>
          <w:sz w:val="24"/>
          <w:szCs w:val="24"/>
        </w:rPr>
        <w:t>We have also made a good faith effort to reach those customers not directly billed by using the following methods:</w:t>
      </w:r>
    </w:p>
    <w:p w:rsidR="002179FC" w:rsidRDefault="002179FC">
      <w:pPr>
        <w:ind w:left="0" w:hanging="2"/>
        <w:rPr>
          <w:sz w:val="24"/>
          <w:szCs w:val="24"/>
        </w:rPr>
      </w:pPr>
    </w:p>
    <w:p w:rsidR="002179FC" w:rsidRDefault="00A40191">
      <w:pPr>
        <w:numPr>
          <w:ilvl w:val="0"/>
          <w:numId w:val="1"/>
        </w:numPr>
        <w:ind w:left="0" w:hanging="2"/>
        <w:rPr>
          <w:sz w:val="24"/>
          <w:szCs w:val="24"/>
        </w:rPr>
      </w:pPr>
      <w:r>
        <w:rPr>
          <w:sz w:val="24"/>
          <w:szCs w:val="24"/>
        </w:rPr>
        <w:t>Posting the CCR on the Internet at this web address – hyrumcity.org</w:t>
      </w:r>
    </w:p>
    <w:p w:rsidR="002179FC" w:rsidRDefault="002179FC">
      <w:pPr>
        <w:ind w:left="0" w:hanging="2"/>
        <w:rPr>
          <w:sz w:val="24"/>
          <w:szCs w:val="24"/>
        </w:rPr>
      </w:pPr>
    </w:p>
    <w:p w:rsidR="002179FC" w:rsidRDefault="002179FC">
      <w:pPr>
        <w:ind w:left="0" w:hanging="2"/>
        <w:rPr>
          <w:sz w:val="24"/>
          <w:szCs w:val="24"/>
        </w:rPr>
      </w:pPr>
    </w:p>
    <w:p w:rsidR="002179FC" w:rsidRDefault="002179FC">
      <w:pPr>
        <w:ind w:left="0" w:hanging="2"/>
        <w:rPr>
          <w:sz w:val="24"/>
          <w:szCs w:val="24"/>
        </w:rPr>
      </w:pPr>
    </w:p>
    <w:p w:rsidR="002179FC" w:rsidRDefault="00A40191">
      <w:pPr>
        <w:ind w:left="0" w:hanging="2"/>
        <w:rPr>
          <w:color w:val="FF0000"/>
          <w:sz w:val="24"/>
          <w:szCs w:val="24"/>
        </w:rPr>
      </w:pPr>
      <w:r>
        <w:rPr>
          <w:sz w:val="24"/>
          <w:szCs w:val="24"/>
        </w:rPr>
        <w:t>If you have any questions, please contact me at 435-245-6033</w:t>
      </w:r>
      <w:r>
        <w:rPr>
          <w:color w:val="FF0000"/>
          <w:sz w:val="24"/>
          <w:szCs w:val="24"/>
        </w:rPr>
        <w:t xml:space="preserve"> </w:t>
      </w:r>
    </w:p>
    <w:p w:rsidR="002179FC" w:rsidRDefault="002179FC">
      <w:pPr>
        <w:ind w:left="0" w:hanging="2"/>
        <w:rPr>
          <w:sz w:val="24"/>
          <w:szCs w:val="24"/>
        </w:rPr>
      </w:pPr>
    </w:p>
    <w:p w:rsidR="002179FC" w:rsidRDefault="00A40191">
      <w:pPr>
        <w:ind w:left="0" w:hanging="2"/>
        <w:rPr>
          <w:sz w:val="24"/>
          <w:szCs w:val="24"/>
        </w:rPr>
      </w:pPr>
      <w:r>
        <w:rPr>
          <w:sz w:val="24"/>
          <w:szCs w:val="24"/>
        </w:rPr>
        <w:t>Sincerely,</w:t>
      </w:r>
    </w:p>
    <w:p w:rsidR="002179FC" w:rsidRDefault="002179FC">
      <w:pPr>
        <w:ind w:left="0" w:hanging="2"/>
        <w:rPr>
          <w:sz w:val="24"/>
          <w:szCs w:val="24"/>
        </w:rPr>
      </w:pPr>
    </w:p>
    <w:p w:rsidR="002179FC" w:rsidRDefault="002179FC">
      <w:pPr>
        <w:ind w:left="0" w:hanging="2"/>
        <w:rPr>
          <w:sz w:val="24"/>
          <w:szCs w:val="24"/>
        </w:rPr>
      </w:pPr>
    </w:p>
    <w:p w:rsidR="002179FC" w:rsidRDefault="002179FC">
      <w:pPr>
        <w:ind w:left="0" w:hanging="2"/>
        <w:rPr>
          <w:sz w:val="24"/>
          <w:szCs w:val="24"/>
        </w:rPr>
      </w:pPr>
    </w:p>
    <w:p w:rsidR="002179FC" w:rsidRDefault="00A40191">
      <w:pPr>
        <w:ind w:left="0" w:hanging="2"/>
        <w:rPr>
          <w:sz w:val="24"/>
          <w:szCs w:val="24"/>
        </w:rPr>
      </w:pPr>
      <w:r>
        <w:rPr>
          <w:sz w:val="24"/>
          <w:szCs w:val="24"/>
        </w:rPr>
        <w:t>Martell Lowe</w:t>
      </w:r>
    </w:p>
    <w:p w:rsidR="002179FC" w:rsidRDefault="002179FC">
      <w:pPr>
        <w:ind w:left="0" w:hanging="2"/>
        <w:rPr>
          <w:sz w:val="24"/>
          <w:szCs w:val="24"/>
        </w:rPr>
      </w:pPr>
    </w:p>
    <w:p w:rsidR="002179FC" w:rsidRDefault="00A4019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0" w:hanging="2"/>
        <w:rPr>
          <w:rFonts w:ascii="Times New Roman" w:eastAsia="Times New Roman" w:hAnsi="Times New Roman" w:cs="Times New Roman"/>
          <w:sz w:val="24"/>
          <w:szCs w:val="24"/>
        </w:rPr>
      </w:pPr>
      <w:r>
        <w:rPr>
          <w:sz w:val="24"/>
          <w:szCs w:val="24"/>
        </w:rPr>
        <w:t>Hyrum City</w:t>
      </w:r>
    </w:p>
    <w:sectPr w:rsidR="002179FC">
      <w:footerReference w:type="default" r:id="rId9"/>
      <w:pgSz w:w="12240" w:h="15840"/>
      <w:pgMar w:top="1008" w:right="1440" w:bottom="1008" w:left="1440" w:header="1008"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0191">
      <w:pPr>
        <w:spacing w:line="240" w:lineRule="auto"/>
        <w:ind w:left="0" w:hanging="2"/>
      </w:pPr>
      <w:r>
        <w:separator/>
      </w:r>
    </w:p>
  </w:endnote>
  <w:endnote w:type="continuationSeparator" w:id="0">
    <w:p w:rsidR="00000000" w:rsidRDefault="00A401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FC" w:rsidRDefault="00A4019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179FC" w:rsidRDefault="002179F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0191">
      <w:pPr>
        <w:spacing w:line="240" w:lineRule="auto"/>
        <w:ind w:left="0" w:hanging="2"/>
      </w:pPr>
      <w:r>
        <w:separator/>
      </w:r>
    </w:p>
  </w:footnote>
  <w:footnote w:type="continuationSeparator" w:id="0">
    <w:p w:rsidR="00000000" w:rsidRDefault="00A4019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62A7"/>
    <w:multiLevelType w:val="multilevel"/>
    <w:tmpl w:val="F8B83E2A"/>
    <w:lvl w:ilvl="0">
      <w:start w:val="1"/>
      <w:numFmt w:val="lowerLetter"/>
      <w:lvlText w:val="%1."/>
      <w:lvlJc w:val="left"/>
      <w:pPr>
        <w:ind w:left="45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E3522F"/>
    <w:multiLevelType w:val="multilevel"/>
    <w:tmpl w:val="39749E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EF22CA1"/>
    <w:multiLevelType w:val="multilevel"/>
    <w:tmpl w:val="B3FC51A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D2671B1"/>
    <w:multiLevelType w:val="multilevel"/>
    <w:tmpl w:val="CABE8B36"/>
    <w:lvl w:ilvl="0">
      <w:start w:val="1"/>
      <w:numFmt w:val="lowerLetter"/>
      <w:lvlText w:val="%1."/>
      <w:lvlJc w:val="left"/>
      <w:pPr>
        <w:ind w:left="49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FC"/>
    <w:rsid w:val="002179FC"/>
    <w:rsid w:val="00A4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3C42D-A26E-4422-AA4F-3EA57FE6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 w:eastAsia="T" w:hAnsi="T" w:cs="T"/>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unhideWhenUsed/>
    <w:qFormat/>
    <w:pPr>
      <w:keepNext/>
      <w:spacing w:before="240" w:after="60"/>
      <w:outlineLvl w:val="1"/>
    </w:pPr>
    <w:rPr>
      <w:rFonts w:ascii="Arial" w:hAnsi="Arial"/>
      <w:b/>
      <w:i/>
      <w:sz w:val="24"/>
    </w:rPr>
  </w:style>
  <w:style w:type="paragraph" w:styleId="Heading3">
    <w:name w:val="heading 3"/>
    <w:basedOn w:val="Normal"/>
    <w:next w:val="Normal"/>
    <w:uiPriority w:val="9"/>
    <w:unhideWhenUsed/>
    <w:qFormat/>
    <w:pPr>
      <w:keepNext/>
      <w:spacing w:before="240" w:after="60"/>
      <w:outlineLvl w:val="2"/>
    </w:pPr>
    <w:rPr>
      <w:rFonts w:ascii="Arial" w:hAnsi="Arial"/>
      <w:sz w:val="24"/>
    </w:rPr>
  </w:style>
  <w:style w:type="paragraph" w:styleId="Heading4">
    <w:name w:val="heading 4"/>
    <w:basedOn w:val="Normal"/>
    <w:next w:val="Normal"/>
    <w:uiPriority w:val="9"/>
    <w:unhideWhenUsed/>
    <w:qFormat/>
    <w:pPr>
      <w:keepNext/>
      <w:spacing w:before="240" w:after="60"/>
      <w:outlineLvl w:val="3"/>
    </w:pPr>
    <w:rPr>
      <w:rFonts w:ascii="Arial" w:hAnsi="Arial"/>
      <w:b/>
      <w:sz w:val="24"/>
    </w:rPr>
  </w:style>
  <w:style w:type="paragraph" w:styleId="Heading5">
    <w:name w:val="heading 5"/>
    <w:basedOn w:val="Normal"/>
    <w:next w:val="Normal"/>
    <w:uiPriority w:val="9"/>
    <w:unhideWhenUsed/>
    <w:qFormat/>
    <w:pPr>
      <w:spacing w:before="240" w:after="60"/>
      <w:outlineLvl w:val="4"/>
    </w:pPr>
    <w:rPr>
      <w:sz w:val="22"/>
    </w:rPr>
  </w:style>
  <w:style w:type="paragraph" w:styleId="Heading6">
    <w:name w:val="heading 6"/>
    <w:basedOn w:val="Normal"/>
    <w:next w:val="Normal"/>
    <w:uiPriority w:val="9"/>
    <w:unhideWhenUsed/>
    <w:qFormat/>
    <w:pPr>
      <w:keepNext/>
      <w:jc w:val="center"/>
      <w:outlineLvl w:val="5"/>
    </w:pPr>
    <w:rPr>
      <w:sz w:val="24"/>
    </w:rPr>
  </w:style>
  <w:style w:type="paragraph" w:styleId="Heading7">
    <w:name w:val="heading 7"/>
    <w:basedOn w:val="Normal"/>
    <w:next w:val="Normal"/>
    <w:pPr>
      <w:keepNext/>
      <w:tabs>
        <w:tab w:val="left" w:pos="-90"/>
        <w:tab w:val="left" w:pos="2070"/>
        <w:tab w:val="left" w:pos="3870"/>
        <w:tab w:val="left" w:pos="5670"/>
        <w:tab w:val="left" w:pos="7830"/>
        <w:tab w:val="left" w:pos="8550"/>
        <w:tab w:val="left" w:pos="9270"/>
      </w:tabs>
      <w:jc w:val="center"/>
      <w:outlineLvl w:val="6"/>
    </w:pPr>
    <w:rPr>
      <w:rFonts w:ascii="Times New Roman" w:hAnsi="Times New Roman"/>
      <w:color w:val="000000"/>
      <w:sz w:val="32"/>
    </w:rPr>
  </w:style>
  <w:style w:type="paragraph" w:styleId="Heading8">
    <w:name w:val="heading 8"/>
    <w:basedOn w:val="Normal"/>
    <w:next w:val="Normal"/>
    <w:pPr>
      <w:keepNext/>
      <w:tabs>
        <w:tab w:val="left" w:pos="-90"/>
        <w:tab w:val="left" w:pos="2070"/>
        <w:tab w:val="left" w:pos="3870"/>
        <w:tab w:val="left" w:pos="5670"/>
        <w:tab w:val="left" w:pos="7830"/>
        <w:tab w:val="left" w:pos="8550"/>
        <w:tab w:val="left" w:pos="9270"/>
      </w:tabs>
      <w:jc w:val="center"/>
      <w:outlineLvl w:val="7"/>
    </w:pPr>
    <w:rPr>
      <w:rFonts w:ascii="Times New Roman" w:hAnsi="Times New Roman"/>
      <w:b/>
      <w:i/>
      <w:sz w:val="36"/>
    </w:rPr>
  </w:style>
  <w:style w:type="paragraph" w:styleId="Heading9">
    <w:name w:val="heading 9"/>
    <w:basedOn w:val="Normal"/>
    <w:next w:val="Normal"/>
    <w:pPr>
      <w:keepNex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Quick1">
    <w:name w:val="Quick 1."/>
    <w:rPr>
      <w:w w:val="100"/>
      <w:position w:val="-1"/>
      <w:effect w:val="none"/>
      <w:vertAlign w:val="baseline"/>
      <w:cs w:val="0"/>
      <w:em w:val="none"/>
    </w:rPr>
  </w:style>
  <w:style w:type="character" w:customStyle="1" w:styleId="QuickA">
    <w:name w:val="Quick A."/>
    <w:rPr>
      <w:w w:val="100"/>
      <w:position w:val="-1"/>
      <w:effect w:val="none"/>
      <w:vertAlign w:val="baseline"/>
      <w:cs w:val="0"/>
      <w:em w:val="none"/>
    </w:rPr>
  </w:style>
  <w:style w:type="character" w:customStyle="1" w:styleId="DefaultPara">
    <w:name w:val="Default Para"/>
    <w:rPr>
      <w:w w:val="100"/>
      <w:position w:val="-1"/>
      <w:effect w:val="none"/>
      <w:vertAlign w:val="baseline"/>
      <w:cs w:val="0"/>
      <w:em w:val="none"/>
    </w:rPr>
  </w:style>
  <w:style w:type="character" w:customStyle="1" w:styleId="footnoteref">
    <w:name w:val="footnote ref"/>
    <w:rPr>
      <w:w w:val="100"/>
      <w:position w:val="-1"/>
      <w:effect w:val="none"/>
      <w:vertAlign w:val="baseline"/>
      <w:cs w:val="0"/>
      <w:em w:val="none"/>
    </w:rPr>
  </w:style>
  <w:style w:type="paragraph" w:styleId="DocumentMap">
    <w:name w:val="Document Map"/>
    <w:basedOn w:val="Normal"/>
    <w:pPr>
      <w:shd w:val="clear" w:color="auto" w:fill="000080"/>
    </w:pPr>
    <w:rPr>
      <w:rFonts w:ascii="Tahoma" w:hAnsi="Tahoma"/>
    </w:rPr>
  </w:style>
  <w:style w:type="character" w:styleId="Strong">
    <w:name w:val="Strong"/>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BodyText">
    <w:name w:val="Body Text"/>
    <w:basedOn w:val="Normal"/>
    <w:pPr>
      <w:tabs>
        <w:tab w:val="left" w:pos="-90"/>
        <w:tab w:val="left" w:pos="90"/>
        <w:tab w:val="left" w:pos="2070"/>
        <w:tab w:val="left" w:pos="2160"/>
        <w:tab w:val="left" w:pos="3870"/>
        <w:tab w:val="left" w:pos="5670"/>
        <w:tab w:val="left" w:pos="7830"/>
        <w:tab w:val="left" w:pos="8550"/>
        <w:tab w:val="left" w:pos="9270"/>
      </w:tabs>
    </w:pPr>
    <w:rPr>
      <w:b/>
      <w:i/>
      <w:color w:val="FF0000"/>
      <w:sz w:val="24"/>
    </w:rPr>
  </w:style>
  <w:style w:type="paragraph" w:styleId="BodyTextIndent">
    <w:name w:val="Body Text Inden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AutoList21">
    <w:name w:val="AutoList2 1"/>
    <w:basedOn w:val="DefaultParagraphFont"/>
    <w:rPr>
      <w:w w:val="100"/>
      <w:position w:val="-1"/>
      <w:effect w:val="none"/>
      <w:vertAlign w:val="baseline"/>
      <w:cs w:val="0"/>
      <w:em w:val="none"/>
    </w:rPr>
  </w:style>
  <w:style w:type="character" w:customStyle="1" w:styleId="AutoList22">
    <w:name w:val="AutoList2 2"/>
    <w:basedOn w:val="DefaultParagraphFont"/>
    <w:rPr>
      <w:w w:val="100"/>
      <w:position w:val="-1"/>
      <w:effect w:val="none"/>
      <w:vertAlign w:val="baseline"/>
      <w:cs w:val="0"/>
      <w:em w:val="none"/>
    </w:rPr>
  </w:style>
  <w:style w:type="paragraph" w:styleId="BodyText2">
    <w:name w:val="Body Text 2"/>
    <w:basedOn w:val="Normal"/>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napToGrid/>
      <w:color w:val="000000"/>
    </w:rPr>
  </w:style>
  <w:style w:type="paragraph" w:styleId="BodyText3">
    <w:name w:val="Body Text 3"/>
    <w:basedOn w:val="Normal"/>
    <w:pPr>
      <w:widowControl/>
      <w:autoSpaceDE w:val="0"/>
      <w:autoSpaceDN w:val="0"/>
      <w:adjustRightInd w:val="0"/>
    </w:pPr>
    <w:rPr>
      <w:rFonts w:ascii="Times New Roman" w:hAnsi="Times New Roman"/>
      <w:i/>
      <w:iCs/>
      <w:snapToGrid/>
      <w:color w:val="FF0000"/>
      <w:sz w:val="28"/>
      <w:szCs w:val="24"/>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Circuit Rider</dc:creator>
  <cp:lastModifiedBy>Stephanie Fricke</cp:lastModifiedBy>
  <cp:revision>2</cp:revision>
  <dcterms:created xsi:type="dcterms:W3CDTF">2019-04-08T16:32:00Z</dcterms:created>
  <dcterms:modified xsi:type="dcterms:W3CDTF">2019-04-08T16:32:00Z</dcterms:modified>
</cp:coreProperties>
</file>